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"/>
          <w:woUserID w:val="1"/>
        </w:rPr>
        <w:t>黄冈师范学院</w:t>
      </w:r>
      <w:bookmarkStart w:id="0" w:name="_GoBack"/>
      <w:bookmarkEnd w:id="0"/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2759"/>
        <w:gridCol w:w="1729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2020年春季学期，因受新冠肺炎疫情影响而采用在线方式进行授课的，如符合教改设计理念并取得预期效果，可视为完成一个教学周期；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（课堂或实践）实录视频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党委负责对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党委分别对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本学院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12.课程内容学术性评价意见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有关政策文件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MiSans Thin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Arial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altName w:val="Kingsoft Mark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Sans Thin">
    <w:panose1 w:val="00000200000000000000"/>
    <w:charset w:val="86"/>
    <w:family w:val="auto"/>
    <w:pitch w:val="default"/>
    <w:sig w:usb0="80000287" w:usb1="080F1811" w:usb2="00000016" w:usb3="00000000" w:csb0="00040001" w:csb1="00000000"/>
  </w:font>
  <w:font w:name="方正仿宋_GBK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rk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JmMDI4MzI3ZmY2MTFmMzY2NWRlN2UxZWYxNDgxNGIifQ=="/>
  </w:docVars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66D7073"/>
    <w:rsid w:val="2755339D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  <w:rsid w:val="7F719A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6</Pages>
  <Words>2253</Words>
  <Characters>2314</Characters>
  <Lines>18</Lines>
  <Paragraphs>5</Paragraphs>
  <TotalTime>0</TotalTime>
  <ScaleCrop>false</ScaleCrop>
  <LinksUpToDate>false</LinksUpToDate>
  <CharactersWithSpaces>2375</CharactersWithSpaces>
  <Application>WPS Office WWO_wpscloud_20240328185601-baa3e5ecad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2021-04-10T01:45:00Z</dcterms:created>
  <dc:creator>hep</dc:creator>
  <cp:lastModifiedBy>若</cp:lastModifiedBy>
  <dcterms:modified xsi:type="dcterms:W3CDTF">2024-04-07T10:17:47Z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1AF778E5AAD44FE1A0175F09D197F4D6</vt:lpwstr>
  </property>
</Properties>
</file>